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>
  <w:body>
    <w:p>
      <w:pPr>
        <w:pageBreakBefore w:val="true"/>
        <w:spacing w:line="240" w:lineRule="auto" w:after="0" w:before="0"/>
        <w:ind w:right="0" w:left="0"/>
      </w:pPr>
    </w:p>
    <w:p>
      <w:pPr>
        <w:spacing w:line="270" w:lineRule="auto" w:after="0" w:before="0"/>
        <w:ind w:right="0" w:left="0"/>
        <w:rPr>
          <w:rFonts w:ascii="Arial" w:hAnsi="Arial" w:cs="Arial"/>
          <w:sz w:val="54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54"/>
        </w:rPr>
        <w:t xml:space="preserve">VADEMECUM ANTIMAFIA PER GLI ELETTORI </w:t>
      </w:r>
    </w:p>
    <w:p>
      <w:pPr>
        <w:spacing w:line="270" w:lineRule="auto" w:after="0" w:before="0"/>
        <w:ind w:right="0" w:left="0"/>
        <w:rPr>
          <w:rFonts w:ascii="Arial" w:hAnsi="Arial" w:cs="Arial"/>
          <w:sz w:val="54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54"/>
        </w:rPr>
        <w:t>a cura della FONDAZIONE ANTONINO CAPONNETTO</w:t>
      </w:r>
    </w:p>
    <w:p>
      <w:pPr>
        <w:spacing w:line="270" w:lineRule="auto" w:after="0" w:before="0"/>
        <w:ind w:right="0" w:left="0"/>
        <w:rPr>
          <w:rFonts w:ascii="Arial" w:hAnsi="Arial" w:cs="Arial"/>
          <w:sz w:val="54"/>
        </w:rPr>
      </w:pPr>
      <w:r/>
    </w:p>
    <w:p>
      <w:pPr>
        <w:spacing w:line="270" w:lineRule="auto" w:after="0" w:before="0"/>
        <w:ind w:right="0" w:left="0"/>
        <w:rPr>
          <w:rFonts w:ascii="Arial" w:hAnsi="Arial" w:cs="Arial"/>
          <w:sz w:val="54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54"/>
        </w:rPr>
        <w:t xml:space="preserve">Le elezioni parlamentari sono sempre un momento prezioso e delicato della vita democratica, soprattutto in questa fase travagliata della storia del nostro Paese. </w:t>
      </w:r>
    </w:p>
    <w:p>
      <w:pPr>
        <w:spacing w:line="270" w:lineRule="auto" w:after="0" w:before="0"/>
        <w:ind w:right="0" w:left="0"/>
        <w:rPr>
          <w:rFonts w:ascii="Arial" w:hAnsi="Arial" w:cs="Arial"/>
          <w:sz w:val="54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54"/>
        </w:rPr>
        <w:t>Notiamo ancora una volta una debole capacità della politica di affrontare con rigore il tema del "CONTRASTO ALLA MAFIA".</w:t>
      </w:r>
    </w:p>
    <w:p>
      <w:pPr>
        <w:spacing w:line="270" w:lineRule="auto" w:after="0" w:before="0"/>
        <w:ind w:right="0" w:left="0"/>
        <w:rPr>
          <w:rFonts w:ascii="Arial" w:hAnsi="Arial" w:cs="Arial"/>
          <w:sz w:val="54"/>
        </w:rPr>
      </w:pPr>
      <w:r/>
    </w:p>
    <w:p>
      <w:pPr>
        <w:spacing w:line="270" w:lineRule="auto" w:after="0" w:before="0"/>
        <w:ind w:right="0" w:left="0"/>
        <w:rPr>
          <w:rFonts w:ascii="Arial" w:hAnsi="Arial" w:cs="Arial"/>
          <w:sz w:val="54"/>
        </w:rPr>
      </w:pPr>
      <w:r/>
    </w:p>
    <w:p>
      <w:pPr>
        <w:spacing w:line="270" w:lineRule="auto" w:after="0" w:before="0"/>
        <w:ind w:right="0" w:left="0"/>
        <w:rPr>
          <w:rFonts w:ascii="Arial" w:hAnsi="Arial" w:cs="Arial"/>
          <w:sz w:val="54"/>
        </w:rPr>
      </w:pPr>
      <w:r/>
    </w:p>
    <w:p>
      <w:pPr>
        <w:spacing w:line="270" w:lineRule="auto" w:after="0" w:before="0"/>
        <w:ind w:right="0" w:left="0"/>
        <w:rPr>
          <w:rFonts w:ascii="Arial" w:hAnsi="Arial" w:cs="Arial"/>
          <w:sz w:val="54"/>
        </w:rPr>
      </w:pPr>
      <w:r/>
    </w:p>
    <w:p>
      <w:pPr>
        <w:spacing w:line="270" w:lineRule="auto" w:after="0" w:before="0"/>
        <w:ind w:right="0" w:left="0"/>
        <w:rPr>
          <w:rFonts w:ascii="Arial" w:hAnsi="Arial" w:cs="Arial"/>
          <w:sz w:val="54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54"/>
        </w:rPr>
        <w:t xml:space="preserve">Ecco perché invitiamo gli elettori a chiedere </w:t>
      </w:r>
    </w:p>
    <w:p>
      <w:pPr>
        <w:pageBreakBefore w:val="true"/>
        <w:spacing w:line="240" w:lineRule="auto" w:after="0" w:before="0"/>
        <w:ind w:right="0" w:left="0"/>
      </w:pP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54"/>
        </w:rPr>
        <w:t>ai candidati di tutti i partiti di assumere alcuni impegni solenni:</w:t>
      </w:r>
    </w:p>
    <w:p>
      <w:pPr>
        <w:spacing w:line="270" w:lineRule="auto" w:after="0" w:before="0"/>
        <w:ind w:right="0" w:left="0"/>
        <w:rPr>
          <w:rFonts w:ascii="Arial" w:hAnsi="Arial" w:cs="Arial"/>
          <w:sz w:val="54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54"/>
        </w:rPr>
        <w:t>1) Rifiutare il voto mafioso e denunciare e segnalare qualunque contatto consapevole con esponenti contigui alle mafie, con boss o condannati di mafia in tutte le sue fattispecie o sottoposti a misure interdittive e di prevenzione.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54"/>
        </w:rPr>
        <w:t xml:space="preserve">2) Sostenere il principio del “doppio binario”, tanto caro a Falcone e Caponnetto, che oggi è contenuto pienamente nel Codice Antimafia. 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54"/>
        </w:rPr>
        <w:t>3) Applicare il Codice Antimafia in tutte le sue parti con una verifica puntuale e periodica della sua implementazione.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54"/>
        </w:rPr>
        <w:t xml:space="preserve">Intervenire legislativamente sull’ergastolo ostativo, senza disarticolarne la ratio e l’efficacia, mantenendo in vigore il 41-bis: questi istituti trovano una ragion d’essere nella necessità di spezzare il vincolo associativo dell’organizzazione mafiosa, che </w:t>
      </w:r>
    </w:p>
    <w:p>
      <w:pPr>
        <w:pageBreakBefore w:val="true"/>
        <w:spacing w:line="240" w:lineRule="auto" w:after="0" w:before="0"/>
        <w:ind w:right="0" w:left="0"/>
      </w:pP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54"/>
        </w:rPr>
        <w:t>va abbattuto per mettere nelle condizioni anche i boss detenuti di avviare un serio e credibile percorso trattamentale e rieducativo.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54"/>
        </w:rPr>
        <w:t>4) Rafforzare concretamente l’utilizzo sociale e produttivo dei beni confiscati alla mafia, attraverso un pieno funzionamento dell’Agenzia nazionale e con investimenti che rendano i beni immobiliari fruibili e le aziende in grado di essere rigenerate legalmente e managerialmente, in base a criteri trasparenti e di alta competenza.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54"/>
        </w:rPr>
        <w:t>5) Applicare pienamente tutta la gamma degli strumenti normativi sull’aggressione ai patrimoni mafiosi (interdittive antimafia, misure di prevenzione patrimoniale, sequestro e confisca penale) e sul riciclaggio locale e internazionale, per privare le mafie del loro supporto economico.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54"/>
        </w:rPr>
        <w:t xml:space="preserve">Eliminare le modifiche introdotte con il “decreto Recovery”  che, di fatto, hanno indebolito ulteriormente le interdittive antimafia, introducendo la “misura </w:t>
      </w:r>
    </w:p>
    <w:p>
      <w:pPr>
        <w:pageBreakBefore w:val="true"/>
        <w:spacing w:line="240" w:lineRule="auto" w:after="0" w:before="0"/>
        <w:ind w:right="0" w:left="0"/>
      </w:pP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54"/>
        </w:rPr>
        <w:t>amministrativa di prevenzione collaborativa e contraddittorio”, attivabile nei casi in cui l’influenza mafiosa sia solo occasionale.  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54"/>
        </w:rPr>
        <w:t>6) Realizzare una task force in grado di rendere efficace il “Protocollo Antoci” contenuto nel Codice Antimafia, al fine di stroncare la presenza mafiosa nella gestione delle risorse comunitarie in agricoltura.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54"/>
        </w:rPr>
        <w:t>7) Costruire un sistema permanente ed efficace di monitoraggio delle opere pubbliche attraverso il rafforzamento della DIA e delle strutture interforze e amministrative delle prefetture.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54"/>
        </w:rPr>
        <w:t>8)Applicare la normativa di controllo e verifica sulle società finanziarie e sui settori a rischio di infiltrazione: gioco d’azzardo, centri commerciali, locali di intrattenimento e investimenti immobiliari.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54"/>
        </w:rPr>
        <w:t xml:space="preserve">9) Verificare in modo permanente la trasparenza degli investimenti previsti dal PNRR, sul reddito di cittadinanza, sul Superbonus e sui Fondi comunitari, al fine di </w:t>
      </w:r>
    </w:p>
    <w:p>
      <w:pPr>
        <w:pageBreakBefore w:val="true"/>
        <w:spacing w:line="240" w:lineRule="auto" w:after="0" w:before="0"/>
        <w:ind w:right="0" w:left="0"/>
      </w:pP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54"/>
        </w:rPr>
        <w:t>evitare le infiltrazioni mafiose, ricorrendo a gruppi interforze e a sezioni amministrative specializzate da allocare presso le prefetture.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54"/>
        </w:rPr>
        <w:t>10) Rafforzare gli investimenti sociali e infrastrutturali nei Comuni commissariati per infiltrazione mafiosa e consentire l’allontanamento anche della burocrazia collusa, con un fondo ad hoc alimentato dalla parte immobiliare confiscata.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54"/>
        </w:rPr>
        <w:t>11) Applicare correttamente la norma sui testimoni di giustizia per garantire la loro sicurezza, non solo durante la fase processuale, e per il loro reale inserimento lavorativo nella pubblica amministrazione.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54"/>
        </w:rPr>
        <w:t>12) Sostenere con un fondo apposito il lavoro educativo delle scuole italiane e di ricerca delle università italiane sui percorsi di conoscenza della lotta alle mafie, stabilendo un rapporto permanente e trasparente con le Fondazioni e le Associazioni impegnate in tale direzione.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54"/>
        </w:rPr>
        <w:t xml:space="preserve">13) Promuovere lo Spazio giuridico antimafia </w:t>
      </w:r>
    </w:p>
    <w:p>
      <w:pPr>
        <w:pageBreakBefore w:val="true"/>
        <w:spacing w:line="240" w:lineRule="auto" w:after="0" w:before="0"/>
        <w:ind w:right="0" w:left="0"/>
      </w:pP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54"/>
        </w:rPr>
        <w:t>europeo attraverso la piena costituzione di una Procura antimafia e antiterrorismo europea e rendendo omogenee a livello europeo le norme previste dal nostro Codice antimafia.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54"/>
        </w:rPr>
        <w:t>14) Promuovere l’applicazione del “Protocollo Falcone” elaborato dall’ONU in Italia, nel dicembre del 2000, e rilanciato a Vienna nel dicembre del 2020.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54"/>
        </w:rPr>
        <w:t xml:space="preserve">15) </w:t>
      </w:r>
      <w:r>
        <w:rPr>
          <w:rFonts w:ascii="Arial" w:hAnsi="Arial" w:cs="Arial" w:eastAsia="Arial"/>
          <w:color w:val="252525"/>
          <w:sz w:val="54"/>
        </w:rPr>
        <w:t>Attuare uno specifico monitoraggio del comparto della gestione dei rifiuti, sia per impedire sversamenti e traffici illegali, sia per garantire che le mafie continuino a gestire tali decisivo comparto economico che rappresenta un servizio essenziale per i cittadini.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54"/>
        </w:rPr>
        <w:t>Previsione monitoraggio trasporto rifiuti mediante GPS, così come era previsto da SISTRI (sistema di controllo della tracciabilità dei rifiuti, soppresso con  l'articolo 6 del  DL 14 dicembre 2018, n. 135).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54"/>
        </w:rPr>
        <w:t>P</w:t>
      </w:r>
      <w:r>
        <w:rPr>
          <w:rFonts w:ascii="Arial" w:hAnsi="Arial" w:cs="Arial" w:eastAsia="Arial"/>
          <w:color w:val="252525"/>
          <w:sz w:val="54"/>
        </w:rPr>
        <w:t xml:space="preserve">Arrestati due rapinatori seriali, avevano </w:t>
      </w:r>
    </w:p>
    <w:p>
      <w:pPr>
        <w:pageBreakBefore w:val="true"/>
        <w:spacing w:line="240" w:lineRule="auto" w:after="0" w:before="0"/>
        <w:ind w:right="0" w:left="0"/>
      </w:pP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54"/>
        </w:rPr>
        <w:t>messo a segno 5 rapine e 2 estorsioni in pochi mesi.</w:t>
      </w:r>
    </w:p>
    <w:p>
      <w:pPr>
        <w:spacing w:line="270" w:lineRule="auto" w:after="0" w:before="0"/>
        <w:ind w:right="0" w:left="0"/>
        <w:rPr>
          <w:rFonts w:ascii="Arial" w:hAnsi="Arial" w:cs="Arial"/>
          <w:sz w:val="54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54"/>
        </w:rPr>
        <w:t>P</w:t>
      </w:r>
      <w:r>
        <w:rPr>
          <w:rFonts w:ascii="Arial" w:hAnsi="Arial" w:cs="Arial" w:eastAsia="Arial"/>
          <w:color w:val="252525"/>
          <w:sz w:val="54"/>
        </w:rPr>
        <w:t>romuovere l'attuazione delle bonifiche ambientali, tramite l'impiego della task-force del Commissario Unico Bonifiche, a garanzia di procedure trasparenti e prevenzione delle infiltrazioni mafiose.</w:t>
      </w:r>
    </w:p>
    <w:p>
      <w:pPr>
        <w:spacing w:line="270" w:lineRule="auto" w:after="0" w:before="0"/>
        <w:ind w:right="0" w:left="0"/>
        <w:rPr>
          <w:rFonts w:ascii="Arial" w:hAnsi="Arial" w:cs="Arial"/>
          <w:sz w:val="54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54"/>
        </w:rPr>
        <w:t xml:space="preserve">Invitiamo gli elettori a dare il loro voto ai candidati che sono sensibili ai 15 punti del vademecum. </w:t>
      </w:r>
    </w:p>
    <w:sectPr>
      <w:pgSz w:h="16840" w:w="11900"/>
      <w:pgMar>
        <w:pgMar w:top="0" w:right="375" w:bottom="270" w:left="375" w:header="720" w:footer="720" w:gutter="0"/>
      </w:pgMar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2022-09-04T18:33:08Z</dcterms:created>
  <dc:creator>Apache POI</dc:creator>
</cp:coreProperties>
</file>